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4792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UBA HAJIME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KURA SUSHI USA,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17461 DERIAN AVENUE,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143"/>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KURA SUSHI USA,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KRUS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7"/>
        <w:spacing w:after="0"/>
        <w:rPr>
          <w:sz w:val="20"/>
          <w:szCs w:val="20"/>
          <w:color w:val="auto"/>
        </w:rPr>
      </w:pPr>
      <w:r>
        <w:rPr>
          <w:rFonts w:ascii="Arial" w:cs="Arial" w:eastAsia="Arial" w:hAnsi="Arial"/>
          <w:sz w:val="17"/>
          <w:szCs w:val="17"/>
          <w:color w:val="0000FF"/>
        </w:rPr>
        <w:t>SEE REMARKS (A)</w:t>
      </w:r>
    </w:p>
    <w:p>
      <w:pPr>
        <w:spacing w:after="0" w:line="402"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IRVINE</w:t>
            </w:r>
          </w:p>
        </w:tc>
        <w:tc>
          <w:tcPr>
            <w:tcW w:w="1120" w:type="dxa"/>
            <w:vAlign w:val="bottom"/>
          </w:tcPr>
          <w:p>
            <w:pPr>
              <w:ind w:left="3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92614</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Purchase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2"/>
                <w:szCs w:val="12"/>
                <w:color w:val="auto"/>
              </w:rPr>
            </w:pPr>
          </w:p>
        </w:tc>
        <w:tc>
          <w:tcPr>
            <w:tcW w:w="680" w:type="dxa"/>
            <w:vAlign w:val="bottom"/>
          </w:tcPr>
          <w:p>
            <w:pPr>
              <w:ind w:left="120"/>
              <w:spacing w:after="0" w:line="143" w:lineRule="exact"/>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7,148</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A</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46.15</w:t>
            </w: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02/01/2022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43" w:lineRule="exact"/>
              <w:rPr>
                <w:sz w:val="20"/>
                <w:szCs w:val="20"/>
                <w:color w:val="auto"/>
              </w:rPr>
            </w:pPr>
            <w:r>
              <w:rPr>
                <w:rFonts w:ascii="Arial" w:cs="Arial" w:eastAsia="Arial" w:hAnsi="Arial"/>
                <w:sz w:val="13"/>
                <w:szCs w:val="13"/>
                <w:color w:val="0000FF"/>
              </w:rPr>
              <w:t>7,148</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Arial" w:cs="Arial" w:eastAsia="Arial" w:hAnsi="Arial"/>
                <w:sz w:val="13"/>
                <w:szCs w:val="13"/>
                <w:color w:val="0000FF"/>
                <w:w w:val="98"/>
              </w:rPr>
              <w:t>02/01/2032</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7,148</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granted under the issuer's 2018 Incentive Compensation Plan. One-third of the Option shares will vest and become exercisable in full on the date that is 12 months following the date of grant (the "Anniversary Date"). The remaining Option shares will continue to vest in equal quarterly installments on the first day of each quarter starting from May 1, 2023 and over the two years after the Anniversary Date.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(a) Mr. Uba is the President, Chief Executive Officer and Chairman of the Board of Directors. (b) Exhibit 24 - Power of Attorney</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Steven H. Benrubi,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949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Hajime</w:t>
      </w:r>
      <w:r>
        <w:rPr>
          <w:sz w:val="20"/>
          <w:szCs w:val="20"/>
          <w:color w:val="auto"/>
        </w:rPr>
        <w:tab/>
      </w:r>
      <w:r>
        <w:rPr>
          <w:rFonts w:ascii="Arial" w:cs="Arial" w:eastAsia="Arial" w:hAnsi="Arial"/>
          <w:sz w:val="15"/>
          <w:szCs w:val="15"/>
          <w:color w:val="0000FF"/>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Uba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78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ind w:right="1999"/>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199" w:firstLine="506"/>
        <w:spacing w:after="0" w:line="241" w:lineRule="auto"/>
        <w:rPr>
          <w:sz w:val="20"/>
          <w:szCs w:val="20"/>
          <w:color w:val="auto"/>
        </w:rPr>
      </w:pPr>
      <w:r>
        <w:rPr>
          <w:rFonts w:ascii="Courier New" w:cs="Courier New" w:eastAsia="Courier New" w:hAnsi="Courier New"/>
          <w:sz w:val="17"/>
          <w:szCs w:val="17"/>
          <w:color w:val="auto"/>
        </w:rPr>
        <w:t>Know all by these presents that the undersigned hereby authorizes and designates Steven H. Benrubi as the undersigned's agent and attorney-in-fact, with full power of substitution to:</w:t>
      </w:r>
    </w:p>
    <w:p>
      <w:pPr>
        <w:spacing w:after="0" w:line="199" w:lineRule="exact"/>
        <w:rPr>
          <w:sz w:val="20"/>
          <w:szCs w:val="20"/>
          <w:color w:val="auto"/>
        </w:rPr>
      </w:pPr>
    </w:p>
    <w:p>
      <w:pPr>
        <w:ind w:right="1899" w:firstLine="510"/>
        <w:spacing w:after="0" w:line="241" w:lineRule="auto"/>
        <w:tabs>
          <w:tab w:leader="none" w:pos="9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sign on behalf of the undersigned any Form 3, Form 4 or Form 5 under Section l6 of the Securities Exchange Act of 1934, as amended, with respect to the securities of Kura Sushi USA, Inc. (the "Corporation"), and file the same with the Securities and Exchange Commission;</w:t>
      </w:r>
    </w:p>
    <w:p>
      <w:pPr>
        <w:spacing w:after="0" w:line="200" w:lineRule="exact"/>
        <w:rPr>
          <w:rFonts w:ascii="Courier New" w:cs="Courier New" w:eastAsia="Courier New" w:hAnsi="Courier New"/>
          <w:sz w:val="17"/>
          <w:szCs w:val="17"/>
          <w:color w:val="auto"/>
        </w:rPr>
      </w:pPr>
    </w:p>
    <w:p>
      <w:pPr>
        <w:ind w:right="1899" w:firstLine="510"/>
        <w:spacing w:after="0" w:line="241" w:lineRule="auto"/>
        <w:tabs>
          <w:tab w:leader="none" w:pos="9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sign on behalf of the undersigned any Form 144 Notice under the Securities Act of 1933, as amended, and file the same with the Securities and Exchange Commission; and</w:t>
      </w:r>
    </w:p>
    <w:p>
      <w:pPr>
        <w:spacing w:after="0" w:line="198" w:lineRule="exact"/>
        <w:rPr>
          <w:rFonts w:ascii="Courier New" w:cs="Courier New" w:eastAsia="Courier New" w:hAnsi="Courier New"/>
          <w:sz w:val="17"/>
          <w:szCs w:val="17"/>
          <w:color w:val="auto"/>
        </w:rPr>
      </w:pPr>
    </w:p>
    <w:p>
      <w:pPr>
        <w:ind w:right="1999" w:firstLine="510"/>
        <w:spacing w:after="0" w:line="242" w:lineRule="auto"/>
        <w:tabs>
          <w:tab w:leader="none" w:pos="9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899" w:firstLine="506"/>
        <w:spacing w:after="0" w:line="24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ind w:right="1999" w:firstLine="506"/>
        <w:spacing w:after="0" w:line="242"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Corporation assuming, any of the undersigned's responsibilities to comply with Section 16 of the Securities Exchange Act of 1934, as amended, or Section 5 of the Securities Act of 1933, as amended, or Rule 144 promulgated under such Act. This Power of Attorney shall remain in effect until the undersigned is no longer required to file Forms 3, 4, 5 and 144 with respect to the undersigned's holdings of and transactions in securities issued by the Corporation, unless earlier revoked by the undersigned in a signed writing delivered to the foregoing attorneys-in-fact.</w:t>
      </w:r>
    </w:p>
    <w:p>
      <w:pPr>
        <w:spacing w:after="0" w:line="19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Dated:</w:t>
        <w:tab/>
        <w:t>January 31, 2022</w:t>
      </w:r>
    </w:p>
    <w:p>
      <w:pPr>
        <w:spacing w:after="0" w:line="392"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7"/>
          <w:szCs w:val="17"/>
          <w:color w:val="auto"/>
        </w:rPr>
        <w:t>Signature: /s/ Hajime Uba</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7"/>
          <w:szCs w:val="17"/>
          <w:color w:val="auto"/>
        </w:rPr>
        <w:t>Printed Name: Hajime Uba</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3862" TargetMode="External"/><Relationship Id="rId13" Type="http://schemas.openxmlformats.org/officeDocument/2006/relationships/hyperlink" Target="http://www.sec.gov/cgi-bin/browse-edgar?action=getcompany&amp;CIK=0001772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2022-02-02T15:24:17Z</dcterms:created>
  <dcterms:modified xsi:type="dcterms:W3CDTF">2022-02-02T15:24:17Z</dcterms:modified>
</cp:coreProperties>
</file>