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KURA SUSHI USA,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par value $0.001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501270102</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February 28, 2022</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13G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CUSIP NO. 501270102</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320" w:type="dxa"/>
            <w:vAlign w:val="bottom"/>
            <w:tcBorders>
              <w:top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32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Stephens Inc.</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320" w:type="dxa"/>
            <w:vAlign w:val="bottom"/>
            <w:tcBorders>
              <w:right w:val="single" w:sz="8" w:color="auto"/>
            </w:tcBorders>
            <w:gridSpan w:val="5"/>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(a)</w:t>
            </w:r>
          </w:p>
        </w:tc>
        <w:tc>
          <w:tcPr>
            <w:tcW w:w="500" w:type="dxa"/>
            <w:vAlign w:val="bottom"/>
            <w:gridSpan w:val="2"/>
          </w:tcPr>
          <w:p>
            <w:pPr>
              <w:jc w:val="right"/>
              <w:ind w:right="210"/>
              <w:spacing w:after="0" w:line="181" w:lineRule="exact"/>
              <w:rPr>
                <w:sz w:val="20"/>
                <w:szCs w:val="20"/>
                <w:color w:val="auto"/>
              </w:rPr>
            </w:pPr>
            <w:r>
              <w:rPr>
                <w:rFonts w:ascii="MS PGothic" w:cs="MS PGothic" w:eastAsia="MS PGothic" w:hAnsi="MS PGothic"/>
                <w:sz w:val="18"/>
                <w:szCs w:val="18"/>
                <w:color w:val="auto"/>
                <w:w w:val="99"/>
              </w:rPr>
              <w:t>☐</w:t>
            </w:r>
          </w:p>
        </w:tc>
        <w:tc>
          <w:tcPr>
            <w:tcW w:w="940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32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93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32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color w:val="auto"/>
              </w:rPr>
              <w:t>Arkansas</w:t>
            </w:r>
          </w:p>
        </w:tc>
        <w:tc>
          <w:tcPr>
            <w:tcW w:w="8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right w:val="single" w:sz="8" w:color="auto"/>
            </w:tcBorders>
          </w:tcPr>
          <w:p>
            <w:pPr>
              <w:spacing w:after="0"/>
              <w:rPr>
                <w:sz w:val="20"/>
                <w:szCs w:val="20"/>
                <w:color w:val="auto"/>
              </w:rPr>
            </w:pPr>
          </w:p>
        </w:tc>
        <w:tc>
          <w:tcPr>
            <w:tcW w:w="93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896,091</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52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40" w:type="dxa"/>
            <w:vAlign w:val="bottom"/>
            <w:tcBorders>
              <w:right w:val="single" w:sz="8" w:color="auto"/>
            </w:tcBorders>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right w:val="single" w:sz="8" w:color="auto"/>
            </w:tcBorders>
          </w:tcPr>
          <w:p>
            <w:pPr>
              <w:spacing w:after="0"/>
              <w:rPr>
                <w:sz w:val="20"/>
                <w:szCs w:val="20"/>
                <w:color w:val="auto"/>
              </w:rPr>
            </w:pPr>
          </w:p>
        </w:tc>
        <w:tc>
          <w:tcPr>
            <w:tcW w:w="93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2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3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3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520" w:type="dxa"/>
            <w:vAlign w:val="bottom"/>
            <w:gridSpan w:val="2"/>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40" w:type="dxa"/>
            <w:vAlign w:val="bottom"/>
            <w:tcBorders>
              <w:right w:val="single" w:sz="8" w:color="auto"/>
            </w:tcBorders>
          </w:tcPr>
          <w:p>
            <w:pPr>
              <w:spacing w:after="0"/>
              <w:rPr>
                <w:sz w:val="15"/>
                <w:szCs w:val="15"/>
                <w:color w:val="auto"/>
              </w:rPr>
            </w:pPr>
          </w:p>
        </w:tc>
        <w:tc>
          <w:tcPr>
            <w:tcW w:w="26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80" w:type="dxa"/>
            <w:vAlign w:val="bottom"/>
            <w:tcBorders>
              <w:right w:val="single" w:sz="8" w:color="auto"/>
            </w:tcBorders>
          </w:tcPr>
          <w:p>
            <w:pPr>
              <w:spacing w:after="0"/>
              <w:rPr>
                <w:sz w:val="15"/>
                <w:szCs w:val="15"/>
                <w:color w:val="auto"/>
              </w:rPr>
            </w:pPr>
          </w:p>
        </w:tc>
        <w:tc>
          <w:tcPr>
            <w:tcW w:w="932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2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Borders>
              <w:left w:val="single" w:sz="8" w:color="auto"/>
            </w:tcBorders>
          </w:tcPr>
          <w:p>
            <w:pPr>
              <w:spacing w:after="0"/>
              <w:rPr>
                <w:sz w:val="18"/>
                <w:szCs w:val="18"/>
                <w:color w:val="auto"/>
              </w:rPr>
            </w:pPr>
          </w:p>
        </w:tc>
        <w:tc>
          <w:tcPr>
            <w:tcW w:w="52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3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5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7"/>
              </w:rPr>
              <w:t>With:</w:t>
            </w:r>
          </w:p>
        </w:tc>
        <w:tc>
          <w:tcPr>
            <w:tcW w:w="240" w:type="dxa"/>
            <w:vAlign w:val="bottom"/>
            <w:tcBorders>
              <w:right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9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right w:val="single" w:sz="8" w:color="auto"/>
            </w:tcBorders>
          </w:tcPr>
          <w:p>
            <w:pPr>
              <w:spacing w:after="0"/>
              <w:rPr>
                <w:sz w:val="12"/>
                <w:szCs w:val="12"/>
                <w:color w:val="auto"/>
              </w:rPr>
            </w:pPr>
          </w:p>
        </w:tc>
        <w:tc>
          <w:tcPr>
            <w:tcW w:w="93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260" w:type="dxa"/>
            <w:vAlign w:val="bottom"/>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93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896,091</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00" w:type="dxa"/>
            <w:vAlign w:val="bottom"/>
            <w:gridSpan w:val="4"/>
          </w:tcPr>
          <w:p>
            <w:pPr>
              <w:ind w:left="140"/>
              <w:spacing w:after="0"/>
              <w:rPr>
                <w:sz w:val="20"/>
                <w:szCs w:val="20"/>
                <w:color w:val="auto"/>
              </w:rPr>
            </w:pPr>
            <w:r>
              <w:rPr>
                <w:rFonts w:ascii="Arial" w:cs="Arial" w:eastAsia="Arial" w:hAnsi="Arial"/>
                <w:sz w:val="18"/>
                <w:szCs w:val="18"/>
                <w:color w:val="auto"/>
                <w:w w:val="71"/>
              </w:rPr>
              <w:t>AGGREGATE</w:t>
            </w:r>
          </w:p>
        </w:tc>
        <w:tc>
          <w:tcPr>
            <w:tcW w:w="932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896,091</w:t>
            </w:r>
          </w:p>
        </w:tc>
        <w:tc>
          <w:tcPr>
            <w:tcW w:w="8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32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32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0"/>
              </w:rPr>
              <w:t>10.3%</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32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IA</w:t>
            </w: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440" w:top="274" w:right="6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13G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CUSIP NO. 501270102</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320" w:type="dxa"/>
            <w:vAlign w:val="bottom"/>
            <w:tcBorders>
              <w:top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32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SI Holdings Inc.</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320" w:type="dxa"/>
            <w:vAlign w:val="bottom"/>
            <w:tcBorders>
              <w:right w:val="single" w:sz="8" w:color="auto"/>
            </w:tcBorders>
            <w:gridSpan w:val="5"/>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(a)</w:t>
            </w:r>
          </w:p>
        </w:tc>
        <w:tc>
          <w:tcPr>
            <w:tcW w:w="500" w:type="dxa"/>
            <w:vAlign w:val="bottom"/>
            <w:gridSpan w:val="2"/>
          </w:tcPr>
          <w:p>
            <w:pPr>
              <w:jc w:val="right"/>
              <w:ind w:right="210"/>
              <w:spacing w:after="0" w:line="181" w:lineRule="exact"/>
              <w:rPr>
                <w:sz w:val="20"/>
                <w:szCs w:val="20"/>
                <w:color w:val="auto"/>
              </w:rPr>
            </w:pPr>
            <w:r>
              <w:rPr>
                <w:rFonts w:ascii="MS PGothic" w:cs="MS PGothic" w:eastAsia="MS PGothic" w:hAnsi="MS PGothic"/>
                <w:sz w:val="18"/>
                <w:szCs w:val="18"/>
                <w:color w:val="auto"/>
                <w:w w:val="99"/>
              </w:rPr>
              <w:t>☐</w:t>
            </w:r>
          </w:p>
        </w:tc>
        <w:tc>
          <w:tcPr>
            <w:tcW w:w="940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32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93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32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color w:val="auto"/>
              </w:rPr>
              <w:t>Arkansas</w:t>
            </w:r>
          </w:p>
        </w:tc>
        <w:tc>
          <w:tcPr>
            <w:tcW w:w="8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right w:val="single" w:sz="8" w:color="auto"/>
            </w:tcBorders>
          </w:tcPr>
          <w:p>
            <w:pPr>
              <w:spacing w:after="0"/>
              <w:rPr>
                <w:sz w:val="20"/>
                <w:szCs w:val="20"/>
                <w:color w:val="auto"/>
              </w:rPr>
            </w:pPr>
          </w:p>
        </w:tc>
        <w:tc>
          <w:tcPr>
            <w:tcW w:w="93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896,091</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52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40" w:type="dxa"/>
            <w:vAlign w:val="bottom"/>
            <w:tcBorders>
              <w:right w:val="single" w:sz="8" w:color="auto"/>
            </w:tcBorders>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right w:val="single" w:sz="8" w:color="auto"/>
            </w:tcBorders>
          </w:tcPr>
          <w:p>
            <w:pPr>
              <w:spacing w:after="0"/>
              <w:rPr>
                <w:sz w:val="20"/>
                <w:szCs w:val="20"/>
                <w:color w:val="auto"/>
              </w:rPr>
            </w:pPr>
          </w:p>
        </w:tc>
        <w:tc>
          <w:tcPr>
            <w:tcW w:w="93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2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3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3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520" w:type="dxa"/>
            <w:vAlign w:val="bottom"/>
            <w:gridSpan w:val="2"/>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40" w:type="dxa"/>
            <w:vAlign w:val="bottom"/>
            <w:tcBorders>
              <w:right w:val="single" w:sz="8" w:color="auto"/>
            </w:tcBorders>
          </w:tcPr>
          <w:p>
            <w:pPr>
              <w:spacing w:after="0"/>
              <w:rPr>
                <w:sz w:val="15"/>
                <w:szCs w:val="15"/>
                <w:color w:val="auto"/>
              </w:rPr>
            </w:pPr>
          </w:p>
        </w:tc>
        <w:tc>
          <w:tcPr>
            <w:tcW w:w="26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80" w:type="dxa"/>
            <w:vAlign w:val="bottom"/>
            <w:tcBorders>
              <w:right w:val="single" w:sz="8" w:color="auto"/>
            </w:tcBorders>
          </w:tcPr>
          <w:p>
            <w:pPr>
              <w:spacing w:after="0"/>
              <w:rPr>
                <w:sz w:val="15"/>
                <w:szCs w:val="15"/>
                <w:color w:val="auto"/>
              </w:rPr>
            </w:pPr>
          </w:p>
        </w:tc>
        <w:tc>
          <w:tcPr>
            <w:tcW w:w="932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2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Borders>
              <w:left w:val="single" w:sz="8" w:color="auto"/>
            </w:tcBorders>
          </w:tcPr>
          <w:p>
            <w:pPr>
              <w:spacing w:after="0"/>
              <w:rPr>
                <w:sz w:val="18"/>
                <w:szCs w:val="18"/>
                <w:color w:val="auto"/>
              </w:rPr>
            </w:pPr>
          </w:p>
        </w:tc>
        <w:tc>
          <w:tcPr>
            <w:tcW w:w="52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3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5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7"/>
              </w:rPr>
              <w:t>With:</w:t>
            </w:r>
          </w:p>
        </w:tc>
        <w:tc>
          <w:tcPr>
            <w:tcW w:w="240" w:type="dxa"/>
            <w:vAlign w:val="bottom"/>
            <w:tcBorders>
              <w:right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9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right w:val="single" w:sz="8" w:color="auto"/>
            </w:tcBorders>
          </w:tcPr>
          <w:p>
            <w:pPr>
              <w:spacing w:after="0"/>
              <w:rPr>
                <w:sz w:val="12"/>
                <w:szCs w:val="12"/>
                <w:color w:val="auto"/>
              </w:rPr>
            </w:pPr>
          </w:p>
        </w:tc>
        <w:tc>
          <w:tcPr>
            <w:tcW w:w="93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260" w:type="dxa"/>
            <w:vAlign w:val="bottom"/>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93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896,091</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00" w:type="dxa"/>
            <w:vAlign w:val="bottom"/>
            <w:gridSpan w:val="4"/>
          </w:tcPr>
          <w:p>
            <w:pPr>
              <w:ind w:left="140"/>
              <w:spacing w:after="0"/>
              <w:rPr>
                <w:sz w:val="20"/>
                <w:szCs w:val="20"/>
                <w:color w:val="auto"/>
              </w:rPr>
            </w:pPr>
            <w:r>
              <w:rPr>
                <w:rFonts w:ascii="Arial" w:cs="Arial" w:eastAsia="Arial" w:hAnsi="Arial"/>
                <w:sz w:val="18"/>
                <w:szCs w:val="18"/>
                <w:color w:val="auto"/>
                <w:w w:val="71"/>
              </w:rPr>
              <w:t>AGGREGATE</w:t>
            </w:r>
          </w:p>
        </w:tc>
        <w:tc>
          <w:tcPr>
            <w:tcW w:w="932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896,091</w:t>
            </w:r>
          </w:p>
        </w:tc>
        <w:tc>
          <w:tcPr>
            <w:tcW w:w="8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32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32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0"/>
              </w:rPr>
              <w:t>10.3%</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32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2"/>
              </w:rPr>
              <w:t>HC</w:t>
            </w: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440" w:top="274" w:right="6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13G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CUSIP NO. 501270102</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320" w:type="dxa"/>
            <w:vAlign w:val="bottom"/>
            <w:tcBorders>
              <w:top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32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Stephens Financial Services LLC</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320" w:type="dxa"/>
            <w:vAlign w:val="bottom"/>
            <w:tcBorders>
              <w:right w:val="single" w:sz="8" w:color="auto"/>
            </w:tcBorders>
            <w:gridSpan w:val="5"/>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(a)</w:t>
            </w:r>
          </w:p>
        </w:tc>
        <w:tc>
          <w:tcPr>
            <w:tcW w:w="500" w:type="dxa"/>
            <w:vAlign w:val="bottom"/>
            <w:gridSpan w:val="2"/>
          </w:tcPr>
          <w:p>
            <w:pPr>
              <w:jc w:val="right"/>
              <w:ind w:right="210"/>
              <w:spacing w:after="0" w:line="181" w:lineRule="exact"/>
              <w:rPr>
                <w:sz w:val="20"/>
                <w:szCs w:val="20"/>
                <w:color w:val="auto"/>
              </w:rPr>
            </w:pPr>
            <w:r>
              <w:rPr>
                <w:rFonts w:ascii="MS PGothic" w:cs="MS PGothic" w:eastAsia="MS PGothic" w:hAnsi="MS PGothic"/>
                <w:sz w:val="18"/>
                <w:szCs w:val="18"/>
                <w:color w:val="auto"/>
                <w:w w:val="99"/>
              </w:rPr>
              <w:t>☐</w:t>
            </w:r>
          </w:p>
        </w:tc>
        <w:tc>
          <w:tcPr>
            <w:tcW w:w="940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32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93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32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color w:val="auto"/>
              </w:rPr>
              <w:t>Arkansas</w:t>
            </w:r>
          </w:p>
        </w:tc>
        <w:tc>
          <w:tcPr>
            <w:tcW w:w="8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right w:val="single" w:sz="8" w:color="auto"/>
            </w:tcBorders>
          </w:tcPr>
          <w:p>
            <w:pPr>
              <w:spacing w:after="0"/>
              <w:rPr>
                <w:sz w:val="20"/>
                <w:szCs w:val="20"/>
                <w:color w:val="auto"/>
              </w:rPr>
            </w:pPr>
          </w:p>
        </w:tc>
        <w:tc>
          <w:tcPr>
            <w:tcW w:w="93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896,091</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52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40" w:type="dxa"/>
            <w:vAlign w:val="bottom"/>
            <w:tcBorders>
              <w:right w:val="single" w:sz="8" w:color="auto"/>
            </w:tcBorders>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right w:val="single" w:sz="8" w:color="auto"/>
            </w:tcBorders>
          </w:tcPr>
          <w:p>
            <w:pPr>
              <w:spacing w:after="0"/>
              <w:rPr>
                <w:sz w:val="20"/>
                <w:szCs w:val="20"/>
                <w:color w:val="auto"/>
              </w:rPr>
            </w:pPr>
          </w:p>
        </w:tc>
        <w:tc>
          <w:tcPr>
            <w:tcW w:w="93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2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3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3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520" w:type="dxa"/>
            <w:vAlign w:val="bottom"/>
            <w:gridSpan w:val="2"/>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40" w:type="dxa"/>
            <w:vAlign w:val="bottom"/>
            <w:tcBorders>
              <w:right w:val="single" w:sz="8" w:color="auto"/>
            </w:tcBorders>
          </w:tcPr>
          <w:p>
            <w:pPr>
              <w:spacing w:after="0"/>
              <w:rPr>
                <w:sz w:val="15"/>
                <w:szCs w:val="15"/>
                <w:color w:val="auto"/>
              </w:rPr>
            </w:pPr>
          </w:p>
        </w:tc>
        <w:tc>
          <w:tcPr>
            <w:tcW w:w="26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80" w:type="dxa"/>
            <w:vAlign w:val="bottom"/>
            <w:tcBorders>
              <w:right w:val="single" w:sz="8" w:color="auto"/>
            </w:tcBorders>
          </w:tcPr>
          <w:p>
            <w:pPr>
              <w:spacing w:after="0"/>
              <w:rPr>
                <w:sz w:val="15"/>
                <w:szCs w:val="15"/>
                <w:color w:val="auto"/>
              </w:rPr>
            </w:pPr>
          </w:p>
        </w:tc>
        <w:tc>
          <w:tcPr>
            <w:tcW w:w="932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2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Borders>
              <w:left w:val="single" w:sz="8" w:color="auto"/>
            </w:tcBorders>
          </w:tcPr>
          <w:p>
            <w:pPr>
              <w:spacing w:after="0"/>
              <w:rPr>
                <w:sz w:val="18"/>
                <w:szCs w:val="18"/>
                <w:color w:val="auto"/>
              </w:rPr>
            </w:pPr>
          </w:p>
        </w:tc>
        <w:tc>
          <w:tcPr>
            <w:tcW w:w="52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3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5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7"/>
              </w:rPr>
              <w:t>With:</w:t>
            </w:r>
          </w:p>
        </w:tc>
        <w:tc>
          <w:tcPr>
            <w:tcW w:w="240" w:type="dxa"/>
            <w:vAlign w:val="bottom"/>
            <w:tcBorders>
              <w:right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9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right w:val="single" w:sz="8" w:color="auto"/>
            </w:tcBorders>
          </w:tcPr>
          <w:p>
            <w:pPr>
              <w:spacing w:after="0"/>
              <w:rPr>
                <w:sz w:val="12"/>
                <w:szCs w:val="12"/>
                <w:color w:val="auto"/>
              </w:rPr>
            </w:pPr>
          </w:p>
        </w:tc>
        <w:tc>
          <w:tcPr>
            <w:tcW w:w="93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260" w:type="dxa"/>
            <w:vAlign w:val="bottom"/>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93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896,091</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00" w:type="dxa"/>
            <w:vAlign w:val="bottom"/>
            <w:gridSpan w:val="4"/>
          </w:tcPr>
          <w:p>
            <w:pPr>
              <w:ind w:left="140"/>
              <w:spacing w:after="0"/>
              <w:rPr>
                <w:sz w:val="20"/>
                <w:szCs w:val="20"/>
                <w:color w:val="auto"/>
              </w:rPr>
            </w:pPr>
            <w:r>
              <w:rPr>
                <w:rFonts w:ascii="Arial" w:cs="Arial" w:eastAsia="Arial" w:hAnsi="Arial"/>
                <w:sz w:val="18"/>
                <w:szCs w:val="18"/>
                <w:color w:val="auto"/>
                <w:w w:val="71"/>
              </w:rPr>
              <w:t>AGGREGATE</w:t>
            </w:r>
          </w:p>
        </w:tc>
        <w:tc>
          <w:tcPr>
            <w:tcW w:w="932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896,091</w:t>
            </w:r>
          </w:p>
        </w:tc>
        <w:tc>
          <w:tcPr>
            <w:tcW w:w="8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32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32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0"/>
              </w:rPr>
              <w:t>10.3%</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32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2"/>
              </w:rPr>
              <w:t>HC</w:t>
            </w: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440" w:top="274" w:right="6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13G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CUSIP NO. 501270102</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320" w:type="dxa"/>
            <w:vAlign w:val="bottom"/>
            <w:tcBorders>
              <w:top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32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Warren A. Stephens</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320" w:type="dxa"/>
            <w:vAlign w:val="bottom"/>
            <w:tcBorders>
              <w:right w:val="single" w:sz="8" w:color="auto"/>
            </w:tcBorders>
            <w:gridSpan w:val="5"/>
          </w:tcPr>
          <w:p>
            <w:pPr>
              <w:ind w:left="16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(a)</w:t>
            </w:r>
          </w:p>
        </w:tc>
        <w:tc>
          <w:tcPr>
            <w:tcW w:w="500" w:type="dxa"/>
            <w:vAlign w:val="bottom"/>
            <w:gridSpan w:val="2"/>
          </w:tcPr>
          <w:p>
            <w:pPr>
              <w:jc w:val="right"/>
              <w:ind w:right="210"/>
              <w:spacing w:after="0" w:line="181" w:lineRule="exact"/>
              <w:rPr>
                <w:sz w:val="20"/>
                <w:szCs w:val="20"/>
                <w:color w:val="auto"/>
              </w:rPr>
            </w:pPr>
            <w:r>
              <w:rPr>
                <w:rFonts w:ascii="MS PGothic" w:cs="MS PGothic" w:eastAsia="MS PGothic" w:hAnsi="MS PGothic"/>
                <w:sz w:val="18"/>
                <w:szCs w:val="18"/>
                <w:color w:val="auto"/>
                <w:w w:val="99"/>
              </w:rPr>
              <w:t>☐</w:t>
            </w:r>
          </w:p>
        </w:tc>
        <w:tc>
          <w:tcPr>
            <w:tcW w:w="940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32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93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32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32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right w:val="single" w:sz="8" w:color="auto"/>
            </w:tcBorders>
          </w:tcPr>
          <w:p>
            <w:pPr>
              <w:spacing w:after="0"/>
              <w:rPr>
                <w:sz w:val="20"/>
                <w:szCs w:val="20"/>
                <w:color w:val="auto"/>
              </w:rPr>
            </w:pPr>
          </w:p>
        </w:tc>
        <w:tc>
          <w:tcPr>
            <w:tcW w:w="93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896,091</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52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40" w:type="dxa"/>
            <w:vAlign w:val="bottom"/>
            <w:tcBorders>
              <w:right w:val="single" w:sz="8" w:color="auto"/>
            </w:tcBorders>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right w:val="single" w:sz="8" w:color="auto"/>
            </w:tcBorders>
          </w:tcPr>
          <w:p>
            <w:pPr>
              <w:spacing w:after="0"/>
              <w:rPr>
                <w:sz w:val="20"/>
                <w:szCs w:val="20"/>
                <w:color w:val="auto"/>
              </w:rPr>
            </w:pPr>
          </w:p>
        </w:tc>
        <w:tc>
          <w:tcPr>
            <w:tcW w:w="93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2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3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3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520" w:type="dxa"/>
            <w:vAlign w:val="bottom"/>
            <w:gridSpan w:val="2"/>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40" w:type="dxa"/>
            <w:vAlign w:val="bottom"/>
            <w:tcBorders>
              <w:right w:val="single" w:sz="8" w:color="auto"/>
            </w:tcBorders>
          </w:tcPr>
          <w:p>
            <w:pPr>
              <w:spacing w:after="0"/>
              <w:rPr>
                <w:sz w:val="15"/>
                <w:szCs w:val="15"/>
                <w:color w:val="auto"/>
              </w:rPr>
            </w:pPr>
          </w:p>
        </w:tc>
        <w:tc>
          <w:tcPr>
            <w:tcW w:w="26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80" w:type="dxa"/>
            <w:vAlign w:val="bottom"/>
            <w:tcBorders>
              <w:right w:val="single" w:sz="8" w:color="auto"/>
            </w:tcBorders>
          </w:tcPr>
          <w:p>
            <w:pPr>
              <w:spacing w:after="0"/>
              <w:rPr>
                <w:sz w:val="15"/>
                <w:szCs w:val="15"/>
                <w:color w:val="auto"/>
              </w:rPr>
            </w:pPr>
          </w:p>
        </w:tc>
        <w:tc>
          <w:tcPr>
            <w:tcW w:w="932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2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Borders>
              <w:left w:val="single" w:sz="8" w:color="auto"/>
            </w:tcBorders>
          </w:tcPr>
          <w:p>
            <w:pPr>
              <w:spacing w:after="0"/>
              <w:rPr>
                <w:sz w:val="18"/>
                <w:szCs w:val="18"/>
                <w:color w:val="auto"/>
              </w:rPr>
            </w:pPr>
          </w:p>
        </w:tc>
        <w:tc>
          <w:tcPr>
            <w:tcW w:w="52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3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5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7"/>
              </w:rPr>
              <w:t>With:</w:t>
            </w:r>
          </w:p>
        </w:tc>
        <w:tc>
          <w:tcPr>
            <w:tcW w:w="240" w:type="dxa"/>
            <w:vAlign w:val="bottom"/>
            <w:tcBorders>
              <w:right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9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right w:val="single" w:sz="8" w:color="auto"/>
            </w:tcBorders>
          </w:tcPr>
          <w:p>
            <w:pPr>
              <w:spacing w:after="0"/>
              <w:rPr>
                <w:sz w:val="12"/>
                <w:szCs w:val="12"/>
                <w:color w:val="auto"/>
              </w:rPr>
            </w:pPr>
          </w:p>
        </w:tc>
        <w:tc>
          <w:tcPr>
            <w:tcW w:w="93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260" w:type="dxa"/>
            <w:vAlign w:val="bottom"/>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93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896,091</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00" w:type="dxa"/>
            <w:vAlign w:val="bottom"/>
            <w:gridSpan w:val="4"/>
          </w:tcPr>
          <w:p>
            <w:pPr>
              <w:ind w:left="140"/>
              <w:spacing w:after="0"/>
              <w:rPr>
                <w:sz w:val="20"/>
                <w:szCs w:val="20"/>
                <w:color w:val="auto"/>
              </w:rPr>
            </w:pPr>
            <w:r>
              <w:rPr>
                <w:rFonts w:ascii="Arial" w:cs="Arial" w:eastAsia="Arial" w:hAnsi="Arial"/>
                <w:sz w:val="18"/>
                <w:szCs w:val="18"/>
                <w:color w:val="auto"/>
                <w:w w:val="71"/>
              </w:rPr>
              <w:t>AGGREGATE</w:t>
            </w:r>
          </w:p>
        </w:tc>
        <w:tc>
          <w:tcPr>
            <w:tcW w:w="932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896,091</w:t>
            </w:r>
          </w:p>
        </w:tc>
        <w:tc>
          <w:tcPr>
            <w:tcW w:w="8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32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32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0"/>
              </w:rPr>
              <w:t>10.3%</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32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2"/>
              </w:rPr>
              <w:t>HC</w:t>
            </w: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440" w:top="274" w:right="6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501270102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35" w:lineRule="exact"/>
        <w:rPr>
          <w:sz w:val="20"/>
          <w:szCs w:val="20"/>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Issuer: Kura Sushi USA, Inc.</w:t>
      </w:r>
    </w:p>
    <w:p>
      <w:pPr>
        <w:spacing w:after="0" w:line="130" w:lineRule="exact"/>
        <w:rPr>
          <w:rFonts w:ascii="Arial" w:cs="Arial" w:eastAsia="Arial" w:hAnsi="Arial"/>
          <w:sz w:val="18"/>
          <w:szCs w:val="18"/>
          <w:color w:val="auto"/>
        </w:rPr>
      </w:pPr>
    </w:p>
    <w:p>
      <w:pPr>
        <w:jc w:val="both"/>
        <w:ind w:left="980" w:right="6440" w:hanging="552"/>
        <w:spacing w:after="0" w:line="342" w:lineRule="auto"/>
        <w:tabs>
          <w:tab w:leader="none" w:pos="961" w:val="left"/>
        </w:tabs>
        <w:numPr>
          <w:ilvl w:val="0"/>
          <w:numId w:val="3"/>
        </w:numPr>
        <w:rPr>
          <w:rFonts w:ascii="Arial" w:cs="Arial" w:eastAsia="Arial" w:hAnsi="Arial"/>
          <w:sz w:val="16"/>
          <w:szCs w:val="16"/>
          <w:color w:val="auto"/>
        </w:rPr>
      </w:pPr>
      <w:r>
        <w:rPr>
          <w:rFonts w:ascii="Arial" w:cs="Arial" w:eastAsia="Arial" w:hAnsi="Arial"/>
          <w:sz w:val="16"/>
          <w:szCs w:val="16"/>
          <w:color w:val="auto"/>
        </w:rPr>
        <w:t>Address of Issuer’s Principal Executive Offices: 17461 Derian Avenue, Irvine, California 92614</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5" w:lineRule="exact"/>
        <w:rPr>
          <w:sz w:val="20"/>
          <w:szCs w:val="20"/>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20" w:hanging="439"/>
        <w:spacing w:after="0"/>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Stephens Inc.</w:t>
      </w:r>
    </w:p>
    <w:p>
      <w:pPr>
        <w:spacing w:after="0" w:line="9" w:lineRule="exact"/>
        <w:rPr>
          <w:rFonts w:ascii="Arial" w:cs="Arial" w:eastAsia="Arial" w:hAnsi="Arial"/>
          <w:sz w:val="18"/>
          <w:szCs w:val="18"/>
          <w:color w:val="auto"/>
        </w:rPr>
      </w:pPr>
    </w:p>
    <w:p>
      <w:pPr>
        <w:ind w:left="1420" w:hanging="439"/>
        <w:spacing w:after="0"/>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SI Holdings Inc.</w:t>
      </w:r>
    </w:p>
    <w:p>
      <w:pPr>
        <w:spacing w:after="0" w:line="9" w:lineRule="exact"/>
        <w:rPr>
          <w:rFonts w:ascii="Arial" w:cs="Arial" w:eastAsia="Arial" w:hAnsi="Arial"/>
          <w:sz w:val="18"/>
          <w:szCs w:val="18"/>
          <w:color w:val="auto"/>
        </w:rPr>
      </w:pPr>
    </w:p>
    <w:p>
      <w:pPr>
        <w:ind w:left="1420" w:hanging="439"/>
        <w:spacing w:after="0"/>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Stephens Financial Services LLC</w:t>
      </w:r>
    </w:p>
    <w:p>
      <w:pPr>
        <w:spacing w:after="0" w:line="9" w:lineRule="exact"/>
        <w:rPr>
          <w:rFonts w:ascii="Arial" w:cs="Arial" w:eastAsia="Arial" w:hAnsi="Arial"/>
          <w:sz w:val="18"/>
          <w:szCs w:val="18"/>
          <w:color w:val="auto"/>
        </w:rPr>
      </w:pPr>
    </w:p>
    <w:p>
      <w:pPr>
        <w:ind w:left="1420" w:hanging="439"/>
        <w:spacing w:after="0"/>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color w:val="auto"/>
        </w:rPr>
        <w:t>Warren A. Stephens</w:t>
      </w:r>
    </w:p>
    <w:p>
      <w:pPr>
        <w:spacing w:after="0" w:line="237" w:lineRule="exact"/>
        <w:rPr>
          <w:rFonts w:ascii="Arial" w:cs="Arial" w:eastAsia="Arial" w:hAnsi="Arial"/>
          <w:sz w:val="18"/>
          <w:szCs w:val="18"/>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3" w:lineRule="exact"/>
        <w:rPr>
          <w:rFonts w:ascii="Arial" w:cs="Arial" w:eastAsia="Arial" w:hAnsi="Arial"/>
          <w:sz w:val="18"/>
          <w:szCs w:val="18"/>
          <w:color w:val="auto"/>
        </w:rPr>
      </w:pPr>
    </w:p>
    <w:p>
      <w:pPr>
        <w:ind w:left="1240" w:hanging="253"/>
        <w:spacing w:after="0"/>
        <w:tabs>
          <w:tab w:leader="none" w:pos="1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through (4)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111 Center Street, Little Rock, Arkansas 72201</w:t>
      </w:r>
    </w:p>
    <w:p>
      <w:pPr>
        <w:spacing w:after="0" w:line="238" w:lineRule="exact"/>
        <w:rPr>
          <w:sz w:val="20"/>
          <w:szCs w:val="20"/>
          <w:color w:val="auto"/>
        </w:rPr>
      </w:pPr>
    </w:p>
    <w:p>
      <w:pPr>
        <w:ind w:left="960" w:hanging="53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sz w:val="20"/>
          <w:szCs w:val="20"/>
          <w:color w:val="auto"/>
        </w:rPr>
      </w:pPr>
    </w:p>
    <w:p>
      <w:pPr>
        <w:ind w:left="1420" w:hanging="439"/>
        <w:spacing w:after="0"/>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and (2) Arkansas corporation</w:t>
      </w:r>
    </w:p>
    <w:p>
      <w:pPr>
        <w:spacing w:after="0" w:line="9" w:lineRule="exact"/>
        <w:rPr>
          <w:sz w:val="20"/>
          <w:szCs w:val="20"/>
          <w:color w:val="auto"/>
        </w:rPr>
      </w:pPr>
    </w:p>
    <w:p>
      <w:pPr>
        <w:ind w:left="1420" w:hanging="439"/>
        <w:spacing w:after="0"/>
        <w:tabs>
          <w:tab w:leader="none" w:pos="1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Arkansas limited liability company</w:t>
      </w:r>
    </w:p>
    <w:p>
      <w:pPr>
        <w:spacing w:after="0" w:line="9" w:lineRule="exact"/>
        <w:rPr>
          <w:rFonts w:ascii="Arial" w:cs="Arial" w:eastAsia="Arial" w:hAnsi="Arial"/>
          <w:sz w:val="18"/>
          <w:szCs w:val="18"/>
          <w:color w:val="auto"/>
        </w:rPr>
      </w:pPr>
    </w:p>
    <w:p>
      <w:pPr>
        <w:ind w:left="1420" w:hanging="439"/>
        <w:spacing w:after="0"/>
        <w:tabs>
          <w:tab w:leader="none" w:pos="1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United States of America</w:t>
      </w:r>
    </w:p>
    <w:p>
      <w:pPr>
        <w:spacing w:after="0" w:line="116" w:lineRule="exact"/>
        <w:rPr>
          <w:rFonts w:ascii="Arial" w:cs="Arial" w:eastAsia="Arial" w:hAnsi="Arial"/>
          <w:sz w:val="18"/>
          <w:szCs w:val="18"/>
          <w:color w:val="auto"/>
        </w:rPr>
      </w:pPr>
    </w:p>
    <w:p>
      <w:pPr>
        <w:ind w:left="960" w:hanging="532"/>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Title of Class of Securities:Class A Common Stock, par value $0.001 per share (the “Common Stock”)</w:t>
      </w:r>
    </w:p>
    <w:p>
      <w:pPr>
        <w:spacing w:after="0" w:line="252" w:lineRule="exact"/>
        <w:rPr>
          <w:rFonts w:ascii="Arial" w:cs="Arial" w:eastAsia="Arial" w:hAnsi="Arial"/>
          <w:sz w:val="18"/>
          <w:szCs w:val="18"/>
          <w:color w:val="auto"/>
        </w:rPr>
      </w:pPr>
    </w:p>
    <w:p>
      <w:pPr>
        <w:ind w:left="960" w:hanging="532"/>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CUSIP Number: 501270102</w:t>
      </w:r>
    </w:p>
    <w:p>
      <w:pPr>
        <w:spacing w:after="0" w:line="370" w:lineRule="exact"/>
        <w:rPr>
          <w:sz w:val="20"/>
          <w:szCs w:val="20"/>
          <w:color w:val="auto"/>
        </w:rPr>
      </w:pPr>
    </w:p>
    <w:p>
      <w:pPr>
        <w:ind w:left="880" w:hanging="876"/>
        <w:spacing w:after="0" w:line="263" w:lineRule="auto"/>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color w:val="auto"/>
        </w:rPr>
        <w:t>Stephens Inc. is an investment adviser in accordance with Rule 13d-1(b)(1)(ii)(E). Stephens Inc. is also a broker dealer registered under Section 15 of the Act. SI Holdings Inc., Stephens Financial Services LLC and Warren A. Stephens are parent holding companies or control persons in accordance with Rule 13d-1(b)(1)(ii)(G).</w:t>
      </w:r>
    </w:p>
    <w:p>
      <w:pPr>
        <w:spacing w:after="0" w:line="332" w:lineRule="exact"/>
        <w:rPr>
          <w:sz w:val="20"/>
          <w:szCs w:val="20"/>
          <w:color w:val="auto"/>
        </w:rPr>
      </w:pPr>
    </w:p>
    <w:p>
      <w:pPr>
        <w:ind w:left="880" w:right="440" w:hanging="876"/>
        <w:spacing w:after="0" w:line="282" w:lineRule="auto"/>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 xml:space="preserve">Ownership. </w:t>
      </w:r>
      <w:r>
        <w:rPr>
          <w:rFonts w:ascii="Arial" w:cs="Arial" w:eastAsia="Arial" w:hAnsi="Arial"/>
          <w:sz w:val="18"/>
          <w:szCs w:val="18"/>
          <w:color w:val="auto"/>
        </w:rPr>
        <w:t>Provide the following information regarding the aggregate number and percentage of the class of securities of the issuer</w:t>
      </w:r>
      <w:r>
        <w:rPr>
          <w:rFonts w:ascii="Arial" w:cs="Arial" w:eastAsia="Arial" w:hAnsi="Arial"/>
          <w:sz w:val="18"/>
          <w:szCs w:val="18"/>
          <w:b w:val="1"/>
          <w:bCs w:val="1"/>
          <w:color w:val="auto"/>
        </w:rPr>
        <w:t xml:space="preserve"> </w:t>
      </w:r>
      <w:r>
        <w:rPr>
          <w:rFonts w:ascii="Arial" w:cs="Arial" w:eastAsia="Arial" w:hAnsi="Arial"/>
          <w:sz w:val="18"/>
          <w:szCs w:val="18"/>
          <w:color w:val="auto"/>
        </w:rPr>
        <w:t>identified in Item 1.</w:t>
      </w:r>
    </w:p>
    <w:p>
      <w:pPr>
        <w:spacing w:after="0" w:line="7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See Items 5 – 11 on cover pages 2, 3, 4, and 5 of this schedule.</w:t>
      </w:r>
    </w:p>
    <w:p>
      <w:pPr>
        <w:spacing w:after="0" w:line="37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3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N/A</w:t>
      </w:r>
    </w:p>
    <w:p>
      <w:pPr>
        <w:sectPr>
          <w:pgSz w:w="11900" w:h="16838" w:orient="portrait"/>
          <w:cols w:equalWidth="0" w:num="1">
            <w:col w:w="10880"/>
          </w:cols>
          <w:pgMar w:left="440" w:top="274" w:right="579" w:bottom="1440" w:gutter="0" w:footer="0" w:header="0"/>
        </w:sectPr>
      </w:pPr>
    </w:p>
    <w:bookmarkStart w:id="6" w:name="page7"/>
    <w:bookmarkEnd w:id="6"/>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Various persons other than the reporting persons have the right to receive or the power to direct the receipt of dividends from, or the proceeds from the sale of, the shares of the Common Stock reported on this schedule. Such persons include Jerry N. Carr and Rebecca C. Carr whose joint interests relate to more than five percent of the Common Stock.</w:t>
      </w:r>
    </w:p>
    <w:p>
      <w:pPr>
        <w:spacing w:after="0" w:line="328" w:lineRule="exact"/>
        <w:rPr>
          <w:sz w:val="20"/>
          <w:szCs w:val="20"/>
          <w:color w:val="auto"/>
        </w:rPr>
      </w:pPr>
    </w:p>
    <w:p>
      <w:pPr>
        <w:ind w:left="1080" w:right="56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Stephens Inc., an investment adviser in accordance with Rule 13d-1(b)(1)(ii)(E).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Certification.</w:t>
      </w:r>
    </w:p>
    <w:p>
      <w:pPr>
        <w:spacing w:after="0" w:line="121"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000"/>
          </w:cols>
          <w:pgMar w:left="440" w:top="270" w:right="459" w:bottom="1440" w:gutter="0" w:footer="0" w:header="0"/>
        </w:sectPr>
      </w:pPr>
    </w:p>
    <w:bookmarkStart w:id="7" w:name="page8"/>
    <w:bookmarkEnd w:id="7"/>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March 8, 2022</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Stephens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Todd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Todd Ferguson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Associate General Counsel</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 Holdings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Todd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Todd Ferguson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Associate General Counsel</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Stephens Financial Services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Warren A. Stephens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Warren A. Stephens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and Manager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Warren A. Stephens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Warren A. Stephens</w:t>
      </w:r>
    </w:p>
    <w:p>
      <w:pPr>
        <w:sectPr>
          <w:pgSz w:w="11900" w:h="16838" w:orient="portrait"/>
          <w:cols w:equalWidth="0" w:num="1">
            <w:col w:w="10900"/>
          </w:cols>
          <w:pgMar w:left="440" w:top="270" w:right="55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accordance with Rule 13d-1(k)(1) under the Securities Exchange Act of 1934, the undersigned agree to the joint filing with each other on behalf of each of them of such a statement on Schedule 13G with respect to the shares of the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executed this Joint Filing Agreement as of the 8th day of March,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Stephens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Todd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Todd Ferguson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Associate General Counsel</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 Holdings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Todd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Todd Ferguson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Associate General Counsel</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Stephens Financial Services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Warren A. Stephens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Warren A. Stephens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and Manager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Warren A. Stephens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Warren A. Stephens</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lvl w:ilvl="1">
      <w:lvlJc w:val="left"/>
      <w:lvlText w:val="(%2)"/>
      <w:numFmt w:val="decimal"/>
      <w:start w:val="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lowerLetter"/>
      <w:start w:val="1"/>
    </w:lvl>
    <w:lvl w:ilvl="1">
      <w:lvlJc w:val="left"/>
      <w:lvlText w:val="(%2)"/>
      <w:numFmt w:val="decimal"/>
      <w:start w:val="3"/>
    </w:lvl>
  </w:abstractNum>
  <w:abstractNum w:abstractNumId="7">
    <w:nsid w:val="7545E146"/>
    <w:multiLevelType w:val="hybridMultilevel"/>
    <w:lvl w:ilvl="0">
      <w:lvlJc w:val="left"/>
      <w:lvlText w:val="(%1)"/>
      <w:numFmt w:val="lowerLetter"/>
      <w:start w:val="4"/>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2022-03-08T15:29:30Z</dcterms:created>
  <dcterms:modified xsi:type="dcterms:W3CDTF">2022-03-08T15:29:30Z</dcterms:modified>
</cp:coreProperties>
</file>