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RULES 13d –1(b), (c), AND (d) AND AMENDMENTS THERETO FILED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13d–2.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501270102</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020" w:hanging="587"/>
        <w:spacing w:after="0"/>
        <w:tabs>
          <w:tab w:leader="none" w:pos="10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CUSIP No. 501270102</w:t>
      </w:r>
    </w:p>
    <w:p>
      <w:pPr>
        <w:spacing w:after="0" w:line="360" w:lineRule="exact"/>
        <w:rPr>
          <w:sz w:val="20"/>
          <w:szCs w:val="20"/>
          <w:color w:val="auto"/>
        </w:rPr>
      </w:pPr>
    </w:p>
    <w:p>
      <w:pPr>
        <w:ind w:left="880" w:right="7780" w:hanging="575"/>
        <w:spacing w:after="0" w:line="312" w:lineRule="auto"/>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Portolan Capital Management, LLC</w:t>
      </w:r>
    </w:p>
    <w:p>
      <w:pPr>
        <w:spacing w:after="0" w:line="274" w:lineRule="exact"/>
        <w:rPr>
          <w:rFonts w:ascii="Times New Roman" w:cs="Times New Roman" w:eastAsia="Times New Roman" w:hAnsi="Times New Roman"/>
          <w:sz w:val="17"/>
          <w:szCs w:val="17"/>
          <w:color w:val="auto"/>
        </w:rPr>
      </w:pPr>
    </w:p>
    <w:p>
      <w:pPr>
        <w:ind w:left="880" w:hanging="575"/>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35" w:lineRule="exact"/>
        <w:rPr>
          <w:rFonts w:ascii="Times New Roman" w:cs="Times New Roman" w:eastAsia="Times New Roman" w:hAnsi="Times New Roman"/>
          <w:sz w:val="18"/>
          <w:szCs w:val="18"/>
          <w:color w:val="auto"/>
        </w:rPr>
      </w:pPr>
    </w:p>
    <w:p>
      <w:pPr>
        <w:ind w:left="1200" w:hanging="328"/>
        <w:spacing w:after="0" w:line="207" w:lineRule="exact"/>
        <w:tabs>
          <w:tab w:leader="none" w:pos="12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1200" w:hanging="328"/>
        <w:spacing w:after="0" w:line="207" w:lineRule="exact"/>
        <w:tabs>
          <w:tab w:leader="none" w:pos="12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81"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880" w:right="7740" w:hanging="575"/>
        <w:spacing w:after="0" w:line="27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5"/>
        </w:trPr>
        <w:tc>
          <w:tcPr>
            <w:tcW w:w="1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94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5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74,917</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260" w:type="dxa"/>
            <w:vAlign w:val="bottom"/>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260" w:type="dxa"/>
            <w:vAlign w:val="bottom"/>
            <w:vMerge w:val="continue"/>
          </w:tcPr>
          <w:p>
            <w:pPr>
              <w:spacing w:after="0"/>
              <w:rPr>
                <w:sz w:val="8"/>
                <w:szCs w:val="8"/>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vMerge w:val="continue"/>
          </w:tcPr>
          <w:p>
            <w:pPr>
              <w:spacing w:after="0"/>
              <w:rPr>
                <w:sz w:val="14"/>
                <w:szCs w:val="14"/>
                <w:color w:val="auto"/>
              </w:rPr>
            </w:pPr>
          </w:p>
        </w:tc>
        <w:tc>
          <w:tcPr>
            <w:tcW w:w="9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260" w:type="dxa"/>
            <w:vAlign w:val="bottom"/>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9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260" w:type="dxa"/>
            <w:vAlign w:val="bottom"/>
          </w:tcPr>
          <w:p>
            <w:pPr>
              <w:ind w:left="80"/>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tcBorders>
          </w:tcPr>
          <w:p>
            <w:pPr>
              <w:spacing w:after="0"/>
              <w:rPr>
                <w:sz w:val="22"/>
                <w:szCs w:val="22"/>
                <w:color w:val="auto"/>
              </w:rPr>
            </w:pPr>
          </w:p>
        </w:tc>
        <w:tc>
          <w:tcPr>
            <w:tcW w:w="9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2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260" w:type="dxa"/>
            <w:vAlign w:val="bottom"/>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right w:val="single" w:sz="8" w:color="auto"/>
            </w:tcBorders>
          </w:tcPr>
          <w:p>
            <w:pPr>
              <w:spacing w:after="0"/>
              <w:rPr>
                <w:sz w:val="20"/>
                <w:szCs w:val="20"/>
                <w:color w:val="auto"/>
              </w:rPr>
            </w:pP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74,917</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880" w:hanging="563"/>
        <w:spacing w:after="0"/>
        <w:tabs>
          <w:tab w:leader="none" w:pos="1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880" w:right="5560" w:hanging="575"/>
        <w:spacing w:after="0" w:line="53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74,917</w:t>
      </w:r>
    </w:p>
    <w:p>
      <w:pPr>
        <w:spacing w:after="0" w:line="94" w:lineRule="exact"/>
        <w:rPr>
          <w:rFonts w:ascii="Times New Roman" w:cs="Times New Roman" w:eastAsia="Times New Roman" w:hAnsi="Times New Roman"/>
          <w:sz w:val="18"/>
          <w:szCs w:val="18"/>
          <w:color w:val="auto"/>
        </w:rPr>
      </w:pPr>
    </w:p>
    <w:p>
      <w:pPr>
        <w:ind w:left="880" w:hanging="575"/>
        <w:spacing w:after="0" w:line="207" w:lineRule="exact"/>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80" w:right="6580" w:hanging="575"/>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0.74%</w:t>
      </w:r>
    </w:p>
    <w:p>
      <w:pPr>
        <w:spacing w:after="0" w:line="296"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CUSIP No. 501270102</w:t>
      </w:r>
    </w:p>
    <w:p>
      <w:pPr>
        <w:spacing w:after="0" w:line="360" w:lineRule="exact"/>
        <w:rPr>
          <w:sz w:val="20"/>
          <w:szCs w:val="20"/>
          <w:color w:val="auto"/>
        </w:rPr>
      </w:pPr>
    </w:p>
    <w:p>
      <w:pPr>
        <w:ind w:left="880" w:right="8300" w:hanging="575"/>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George McCabe</w:t>
      </w:r>
    </w:p>
    <w:p>
      <w:pPr>
        <w:spacing w:after="0" w:line="296"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35" w:lineRule="exact"/>
        <w:rPr>
          <w:rFonts w:ascii="Times New Roman" w:cs="Times New Roman" w:eastAsia="Times New Roman" w:hAnsi="Times New Roman"/>
          <w:sz w:val="18"/>
          <w:szCs w:val="18"/>
          <w:color w:val="auto"/>
        </w:rPr>
      </w:pPr>
    </w:p>
    <w:p>
      <w:pPr>
        <w:ind w:left="1200" w:hanging="328"/>
        <w:spacing w:after="0" w:line="207" w:lineRule="exact"/>
        <w:tabs>
          <w:tab w:leader="none" w:pos="12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1200" w:hanging="328"/>
        <w:spacing w:after="0" w:line="207" w:lineRule="exact"/>
        <w:tabs>
          <w:tab w:leader="none" w:pos="12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81"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880" w:hanging="575"/>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2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right w:val="single" w:sz="8" w:color="auto"/>
            </w:tcBorders>
          </w:tcPr>
          <w:p>
            <w:pPr>
              <w:spacing w:after="0"/>
              <w:rPr>
                <w:sz w:val="22"/>
                <w:szCs w:val="22"/>
                <w:color w:val="auto"/>
              </w:rPr>
            </w:pPr>
          </w:p>
        </w:tc>
        <w:tc>
          <w:tcPr>
            <w:tcW w:w="94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5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74,917</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260" w:type="dxa"/>
            <w:vAlign w:val="bottom"/>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260" w:type="dxa"/>
            <w:vAlign w:val="bottom"/>
            <w:vMerge w:val="continue"/>
          </w:tcPr>
          <w:p>
            <w:pPr>
              <w:spacing w:after="0"/>
              <w:rPr>
                <w:sz w:val="8"/>
                <w:szCs w:val="8"/>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vMerge w:val="continue"/>
          </w:tcPr>
          <w:p>
            <w:pPr>
              <w:spacing w:after="0"/>
              <w:rPr>
                <w:sz w:val="14"/>
                <w:szCs w:val="14"/>
                <w:color w:val="auto"/>
              </w:rPr>
            </w:pPr>
          </w:p>
        </w:tc>
        <w:tc>
          <w:tcPr>
            <w:tcW w:w="9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260" w:type="dxa"/>
            <w:vAlign w:val="bottom"/>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9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260" w:type="dxa"/>
            <w:vAlign w:val="bottom"/>
          </w:tcPr>
          <w:p>
            <w:pPr>
              <w:ind w:left="80"/>
              <w:spacing w:after="0" w:line="167" w:lineRule="exact"/>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tcBorders>
          </w:tcPr>
          <w:p>
            <w:pPr>
              <w:spacing w:after="0"/>
              <w:rPr>
                <w:sz w:val="22"/>
                <w:szCs w:val="22"/>
                <w:color w:val="auto"/>
              </w:rPr>
            </w:pPr>
          </w:p>
        </w:tc>
        <w:tc>
          <w:tcPr>
            <w:tcW w:w="9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2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260" w:type="dxa"/>
            <w:vAlign w:val="bottom"/>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right w:val="single" w:sz="8" w:color="auto"/>
            </w:tcBorders>
          </w:tcPr>
          <w:p>
            <w:pPr>
              <w:spacing w:after="0"/>
              <w:rPr>
                <w:sz w:val="20"/>
                <w:szCs w:val="20"/>
                <w:color w:val="auto"/>
              </w:rPr>
            </w:pP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74,917</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880" w:hanging="563"/>
        <w:spacing w:after="0"/>
        <w:tabs>
          <w:tab w:leader="none" w:pos="1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880" w:right="5560" w:hanging="575"/>
        <w:spacing w:after="0" w:line="53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74,917</w:t>
      </w:r>
    </w:p>
    <w:p>
      <w:pPr>
        <w:spacing w:after="0" w:line="94" w:lineRule="exact"/>
        <w:rPr>
          <w:rFonts w:ascii="Times New Roman" w:cs="Times New Roman" w:eastAsia="Times New Roman" w:hAnsi="Times New Roman"/>
          <w:sz w:val="18"/>
          <w:szCs w:val="18"/>
          <w:color w:val="auto"/>
        </w:rPr>
      </w:pPr>
    </w:p>
    <w:p>
      <w:pPr>
        <w:ind w:left="880" w:hanging="575"/>
        <w:spacing w:after="0" w:line="207" w:lineRule="exact"/>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80" w:right="6580" w:hanging="575"/>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0.74%</w:t>
      </w:r>
    </w:p>
    <w:p>
      <w:pPr>
        <w:spacing w:after="0" w:line="296" w:lineRule="exact"/>
        <w:rPr>
          <w:rFonts w:ascii="Times New Roman" w:cs="Times New Roman" w:eastAsia="Times New Roman" w:hAnsi="Times New Roman"/>
          <w:sz w:val="18"/>
          <w:szCs w:val="18"/>
          <w:color w:val="auto"/>
        </w:rPr>
      </w:pPr>
    </w:p>
    <w:p>
      <w:pPr>
        <w:ind w:left="880" w:hanging="575"/>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20" w:hanging="454"/>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Kura Sushi USA, Inc.</w:t>
      </w:r>
    </w:p>
    <w:p>
      <w:pPr>
        <w:spacing w:after="0" w:line="112" w:lineRule="exact"/>
        <w:rPr>
          <w:rFonts w:ascii="Times New Roman" w:cs="Times New Roman" w:eastAsia="Times New Roman" w:hAnsi="Times New Roman"/>
          <w:sz w:val="18"/>
          <w:szCs w:val="18"/>
          <w:color w:val="auto"/>
        </w:rPr>
      </w:pPr>
    </w:p>
    <w:p>
      <w:pPr>
        <w:ind w:left="1420" w:right="7420" w:hanging="454"/>
        <w:spacing w:after="0" w:line="282"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17461 Derian Avenue, Suite 200 Irvine, California 92614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11430</wp:posOffset>
            </wp:positionV>
            <wp:extent cx="6275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-339725</wp:posOffset>
            </wp:positionV>
            <wp:extent cx="6275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20" w:hanging="454"/>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being filed with respect to the shares of common stock (“Common Stock”) of the Issuer beneficially owned</w:t>
      </w:r>
    </w:p>
    <w:p>
      <w:pPr>
        <w:spacing w:after="0" w:line="27" w:lineRule="exact"/>
        <w:rPr>
          <w:rFonts w:ascii="Times New Roman" w:cs="Times New Roman" w:eastAsia="Times New Roman" w:hAnsi="Times New Roman"/>
          <w:sz w:val="18"/>
          <w:szCs w:val="18"/>
          <w:color w:val="auto"/>
        </w:rPr>
      </w:pPr>
    </w:p>
    <w:p>
      <w:pPr>
        <w:ind w:left="1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 directly by Portolan Capital Management, LLC, a registered investment adviser, in its capacity as investment manager for various clients, and (2) indirectly by George McCabe, the Manager of Portolan Capital Management, LLC. Portolan Capital Management, LLC and Mr. McCabe are sometimes individually referred to herein as a “Reporting Person” and collectively as the “Reporting Persons.”</w:t>
      </w:r>
    </w:p>
    <w:p>
      <w:pPr>
        <w:spacing w:after="0" w:line="290" w:lineRule="exact"/>
        <w:rPr>
          <w:rFonts w:ascii="Times New Roman" w:cs="Times New Roman" w:eastAsia="Times New Roman" w:hAnsi="Times New Roman"/>
          <w:sz w:val="18"/>
          <w:szCs w:val="18"/>
          <w:color w:val="auto"/>
        </w:rPr>
      </w:pPr>
    </w:p>
    <w:p>
      <w:pPr>
        <w:ind w:left="1420" w:right="5500" w:hanging="454"/>
        <w:spacing w:after="0" w:line="26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Portolan Capital Management, LLC and George McCabe 2 International Place, FL 26, Boston, MA 02110</w:t>
      </w:r>
    </w:p>
    <w:p>
      <w:pPr>
        <w:spacing w:after="0" w:line="81" w:lineRule="exact"/>
        <w:rPr>
          <w:rFonts w:ascii="Times New Roman" w:cs="Times New Roman" w:eastAsia="Times New Roman" w:hAnsi="Times New Roman"/>
          <w:sz w:val="18"/>
          <w:szCs w:val="18"/>
          <w:color w:val="auto"/>
        </w:rPr>
      </w:pPr>
    </w:p>
    <w:p>
      <w:pPr>
        <w:ind w:left="1420" w:hanging="454"/>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420" w:right="6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Portolan Capital Management, LLC – DE Mr. McCabe – USA</w:t>
      </w:r>
    </w:p>
    <w:p>
      <w:pPr>
        <w:spacing w:after="0" w:line="86" w:lineRule="exact"/>
        <w:rPr>
          <w:rFonts w:ascii="Times New Roman" w:cs="Times New Roman" w:eastAsia="Times New Roman" w:hAnsi="Times New Roman"/>
          <w:sz w:val="18"/>
          <w:szCs w:val="18"/>
          <w:color w:val="auto"/>
        </w:rPr>
      </w:pPr>
    </w:p>
    <w:p>
      <w:pPr>
        <w:ind w:left="1420" w:right="7860" w:hanging="454"/>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67" w:lineRule="exact"/>
        <w:rPr>
          <w:rFonts w:ascii="Times New Roman" w:cs="Times New Roman" w:eastAsia="Times New Roman" w:hAnsi="Times New Roman"/>
          <w:sz w:val="18"/>
          <w:szCs w:val="18"/>
          <w:color w:val="auto"/>
        </w:rPr>
      </w:pPr>
    </w:p>
    <w:p>
      <w:pPr>
        <w:ind w:left="1420" w:right="8620" w:hanging="454"/>
        <w:spacing w:after="0" w:line="312" w:lineRule="auto"/>
        <w:tabs>
          <w:tab w:leader="none" w:pos="1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501270102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-1905</wp:posOffset>
            </wp:positionV>
            <wp:extent cx="6275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-353060</wp:posOffset>
            </wp:positionV>
            <wp:extent cx="6275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-704850</wp:posOffset>
            </wp:positionV>
            <wp:extent cx="6275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-1193165</wp:posOffset>
            </wp:positionV>
            <wp:extent cx="6275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-1682115</wp:posOffset>
            </wp:positionV>
            <wp:extent cx="62750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3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80" w:lineRule="exact"/>
        <w:rPr>
          <w:sz w:val="20"/>
          <w:szCs w:val="20"/>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880" w:right="80" w:hanging="914"/>
        <w:spacing w:after="0" w:line="226" w:lineRule="exact"/>
        <w:tabs>
          <w:tab w:leader="none" w:pos="1367"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89"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360" w:hanging="394"/>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§240.13d-1(b)(1)(ii)(J).</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54" w:right="39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Items 5-9 and 11 of pages 1 - 2 of this Schedule, which Items are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80" w:right="300" w:hanging="1065"/>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54" w:right="859" w:bottom="1440" w:gutter="0" w:footer="0" w:header="0"/>
        </w:sectPr>
      </w:pPr>
    </w:p>
    <w:bookmarkStart w:id="5" w:name="page6"/>
    <w:bookmarkEnd w:id="5"/>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28"/>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4"/>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Portolan Capital Management, LLC</w:t>
            </w:r>
          </w:p>
        </w:tc>
      </w:tr>
      <w:tr>
        <w:trPr>
          <w:trHeight w:val="453"/>
        </w:trPr>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 George McCabe</w:t>
            </w:r>
          </w:p>
        </w:tc>
      </w:tr>
      <w:tr>
        <w:trPr>
          <w:trHeight w:val="228"/>
        </w:trPr>
        <w:tc>
          <w:tcPr>
            <w:tcW w:w="5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George McCabe, Manager</w:t>
            </w:r>
          </w:p>
        </w:tc>
        <w:tc>
          <w:tcPr>
            <w:tcW w:w="560" w:type="dxa"/>
            <w:vAlign w:val="bottom"/>
          </w:tcPr>
          <w:p>
            <w:pPr>
              <w:spacing w:after="0"/>
              <w:rPr>
                <w:sz w:val="19"/>
                <w:szCs w:val="19"/>
                <w:color w:val="auto"/>
              </w:rPr>
            </w:pPr>
          </w:p>
        </w:tc>
      </w:tr>
      <w:tr>
        <w:trPr>
          <w:trHeight w:val="441"/>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/s/ George McCabe</w:t>
            </w:r>
          </w:p>
        </w:tc>
      </w:tr>
      <w:tr>
        <w:trPr>
          <w:trHeight w:val="228"/>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George McCabe</w:t>
            </w: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1"/>
      <w:numFmt w:val="decimal"/>
      <w:start w:val="1"/>
    </w:lvl>
    <w:lvl w:ilvl="1">
      <w:lvlJc w:val="left"/>
      <w:lvlText w:val="%2."/>
      <w:numFmt w:val="decimal"/>
      <w:start w:val="8"/>
    </w:lvl>
  </w:abstractNum>
  <w:abstractNum w:abstractNumId="10">
    <w:nsid w:val="140E0F76"/>
    <w:multiLevelType w:val="hybridMultilevel"/>
    <w:lvl w:ilvl="0">
      <w:lvlJc w:val="left"/>
      <w:lvlText w:val="%1."/>
      <w:numFmt w:val="decimal"/>
      <w:start w:val="9"/>
    </w:lvl>
    <w:lvl w:ilvl="1">
      <w:lvlJc w:val="left"/>
      <w:lvlText w:val="%2"/>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2024-02-14T11:16:03Z</dcterms:created>
  <dcterms:modified xsi:type="dcterms:W3CDTF">2024-02-14T11:16:03Z</dcterms:modified>
</cp:coreProperties>
</file>