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BOWERS TREASA</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07/09/2024</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KURA SUSHI USA,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KRUS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402" w:lineRule="auto"/>
        <w:rPr>
          <w:sz w:val="20"/>
          <w:szCs w:val="20"/>
          <w:color w:val="auto"/>
        </w:rPr>
      </w:pPr>
      <w:r>
        <w:rPr>
          <w:rFonts w:ascii="Times New Roman" w:cs="Times New Roman" w:eastAsia="Times New Roman" w:hAnsi="Times New Roman"/>
          <w:sz w:val="18"/>
          <w:szCs w:val="18"/>
          <w:color w:val="0000FF"/>
        </w:rPr>
        <w:t>C/O KURA SUSHI USA, INC. 17461 DERIAN AVE, SUITE 200</w:t>
      </w:r>
    </w:p>
    <w:p>
      <w:pPr>
        <w:spacing w:after="0" w:line="16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gridSpan w:val="3"/>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Brent Takao, Attorney-</w:t>
            </w:r>
          </w:p>
        </w:tc>
        <w:tc>
          <w:tcPr>
            <w:tcW w:w="140" w:type="dxa"/>
            <w:vAlign w:val="bottom"/>
          </w:tcPr>
          <w:p>
            <w:pPr>
              <w:spacing w:after="0"/>
              <w:rPr>
                <w:sz w:val="22"/>
                <w:szCs w:val="2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94"/>
              </w:rPr>
              <w:t>07/11/2024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180" w:type="dxa"/>
            <w:vAlign w:val="bottom"/>
            <w:gridSpan w:val="5"/>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Treasa Bowers</w:t>
            </w:r>
          </w:p>
        </w:tc>
        <w:tc>
          <w:tcPr>
            <w:tcW w:w="880" w:type="dxa"/>
            <w:vAlign w:val="bottom"/>
            <w:tcBorders>
              <w:bottom w:val="single" w:sz="8" w:color="auto"/>
            </w:tcBorders>
            <w:gridSpan w:val="2"/>
            <w:vMerge w:val="continue"/>
          </w:tcPr>
          <w:p>
            <w:pPr>
              <w:spacing w:after="0"/>
              <w:rPr>
                <w:sz w:val="8"/>
                <w:szCs w:val="8"/>
                <w:color w:val="auto"/>
              </w:rPr>
            </w:pPr>
          </w:p>
        </w:tc>
        <w:tc>
          <w:tcPr>
            <w:tcW w:w="13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180" w:type="dxa"/>
            <w:vAlign w:val="bottom"/>
            <w:gridSpan w:val="5"/>
            <w:vMerge w:val="continue"/>
          </w:tcPr>
          <w:p>
            <w:pPr>
              <w:spacing w:after="0"/>
              <w:rPr>
                <w:sz w:val="8"/>
                <w:szCs w:val="8"/>
                <w:color w:val="auto"/>
              </w:rPr>
            </w:pPr>
          </w:p>
        </w:tc>
        <w:tc>
          <w:tcPr>
            <w:tcW w:w="880" w:type="dxa"/>
            <w:vAlign w:val="bottom"/>
            <w:gridSpan w:val="2"/>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jc w:val="both"/>
        <w:ind w:right="20" w:firstLine="729"/>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authorizes and designates each of Hajime Uba, Jeffrey Uttz and Brent M. Takao as the undersigned’s agent and attorney-in-fact, with full power of substitution to:</w:t>
      </w:r>
    </w:p>
    <w:p>
      <w:pPr>
        <w:spacing w:after="0" w:line="218" w:lineRule="exact"/>
        <w:rPr>
          <w:sz w:val="20"/>
          <w:szCs w:val="20"/>
          <w:color w:val="auto"/>
        </w:rPr>
      </w:pPr>
    </w:p>
    <w:p>
      <w:pPr>
        <w:jc w:val="both"/>
        <w:ind w:right="20" w:firstLine="729"/>
        <w:spacing w:after="0" w:line="250" w:lineRule="auto"/>
        <w:tabs>
          <w:tab w:leader="none" w:pos="1079"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and sign on behalf of the undersigned any Form 3, Form 4 or Form 5 under Section l6 of the Securities Exchange Act of 1934, as amended, with respect to the securities of Kura Sushi USA, Inc. (the “Corporation”), and file the same with the Securities and Exchange Commission;</w:t>
      </w:r>
    </w:p>
    <w:p>
      <w:pPr>
        <w:spacing w:after="0" w:line="218" w:lineRule="exact"/>
        <w:rPr>
          <w:rFonts w:ascii="Times New Roman" w:cs="Times New Roman" w:eastAsia="Times New Roman" w:hAnsi="Times New Roman"/>
          <w:sz w:val="24"/>
          <w:szCs w:val="24"/>
          <w:color w:val="auto"/>
        </w:rPr>
      </w:pPr>
    </w:p>
    <w:p>
      <w:pPr>
        <w:ind w:firstLine="729"/>
        <w:spacing w:after="0" w:line="266" w:lineRule="auto"/>
        <w:tabs>
          <w:tab w:leader="none" w:pos="1077"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and sign on behalf of the undersigned any Form 144 Notice under the Securities Act of 1933, as amended, and file the same with the Securities and Exchange Commission; and</w:t>
      </w:r>
    </w:p>
    <w:p>
      <w:pPr>
        <w:spacing w:after="0" w:line="198" w:lineRule="exact"/>
        <w:rPr>
          <w:rFonts w:ascii="Times New Roman" w:cs="Times New Roman" w:eastAsia="Times New Roman" w:hAnsi="Times New Roman"/>
          <w:sz w:val="24"/>
          <w:szCs w:val="24"/>
          <w:color w:val="auto"/>
        </w:rPr>
      </w:pPr>
    </w:p>
    <w:p>
      <w:pPr>
        <w:jc w:val="both"/>
        <w:ind w:firstLine="729"/>
        <w:spacing w:after="0" w:line="242" w:lineRule="auto"/>
        <w:tabs>
          <w:tab w:leader="none" w:pos="107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jc w:val="both"/>
        <w:ind w:firstLine="729"/>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28"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4"/>
          <w:szCs w:val="24"/>
          <w:color w:val="auto"/>
        </w:rPr>
        <w:t>The undersigned acknowledges that the foregoing attorneys-in-fact, in serving in such capacity at the request of the undersigned, are not assuming, nor is the Corporation assuming, any of the undersigned’s responsibilities to comply with Section 16 of the Securities Exchange Act of 1934, as amended, or Section 5 of the Securities Act of 1933, as amended, or Rule 144 promulgated under such Act. This Power of Attorney shall remain in effect until the undersigned is no longer required to file Forms 3, 4, 5 and 144 with respect to the undersigned’s holdings of and transactions in securities issued by the Corporation, unless earlier revoked by the undersigned in a signed writing delivered to the foregoing attorneys-in-fact. This Power of Attorney revokes all previous powers of attorney with respect to the subject matter of this Power of Attorney.</w:t>
      </w:r>
    </w:p>
    <w:p>
      <w:pPr>
        <w:spacing w:after="0" w:line="232"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24"/>
          <w:szCs w:val="24"/>
          <w:color w:val="auto"/>
        </w:rPr>
        <w:t>Dated:</w:t>
        <w:tab/>
        <w:t>July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24765</wp:posOffset>
            </wp:positionV>
            <wp:extent cx="15151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515110" cy="9525"/>
                    </a:xfrm>
                    <a:prstGeom prst="rect">
                      <a:avLst/>
                    </a:prstGeom>
                    <a:noFill/>
                  </pic:spPr>
                </pic:pic>
              </a:graphicData>
            </a:graphic>
          </wp:anchor>
        </w:drawing>
      </w:r>
    </w:p>
    <w:p>
      <w:pPr>
        <w:spacing w:after="0" w:line="394" w:lineRule="exact"/>
        <w:rPr>
          <w:sz w:val="20"/>
          <w:szCs w:val="20"/>
          <w:color w:val="auto"/>
        </w:rPr>
      </w:pPr>
    </w:p>
    <w:p>
      <w:pPr>
        <w:ind w:left="6580"/>
        <w:spacing w:after="0"/>
        <w:tabs>
          <w:tab w:leader="none" w:pos="8320" w:val="left"/>
        </w:tabs>
        <w:rPr>
          <w:sz w:val="20"/>
          <w:szCs w:val="20"/>
          <w:color w:val="auto"/>
        </w:rPr>
      </w:pPr>
      <w:r>
        <w:rPr>
          <w:rFonts w:ascii="Times New Roman" w:cs="Times New Roman" w:eastAsia="Times New Roman" w:hAnsi="Times New Roman"/>
          <w:sz w:val="24"/>
          <w:szCs w:val="24"/>
          <w:color w:val="auto"/>
        </w:rPr>
        <w:t>Signature:</w:t>
      </w:r>
      <w:r>
        <w:rPr>
          <w:sz w:val="20"/>
          <w:szCs w:val="20"/>
          <w:color w:val="auto"/>
        </w:rPr>
        <w:tab/>
      </w:r>
      <w:r>
        <w:rPr>
          <w:rFonts w:ascii="Times New Roman" w:cs="Times New Roman" w:eastAsia="Times New Roman" w:hAnsi="Times New Roman"/>
          <w:sz w:val="24"/>
          <w:szCs w:val="24"/>
          <w:color w:val="auto"/>
        </w:rPr>
        <w:t>/s/ Treasa Bowers</w:t>
      </w:r>
    </w:p>
    <w:p>
      <w:pPr>
        <w:spacing w:after="0" w:line="36" w:lineRule="exact"/>
        <w:rPr>
          <w:sz w:val="20"/>
          <w:szCs w:val="20"/>
          <w:color w:val="auto"/>
        </w:rPr>
      </w:pPr>
    </w:p>
    <w:p>
      <w:pPr>
        <w:ind w:left="6580"/>
        <w:spacing w:after="0"/>
        <w:tabs>
          <w:tab w:leader="none" w:pos="8320" w:val="left"/>
        </w:tabs>
        <w:rPr>
          <w:sz w:val="20"/>
          <w:szCs w:val="20"/>
          <w:color w:val="auto"/>
        </w:rPr>
      </w:pPr>
      <w:r>
        <w:rPr>
          <w:rFonts w:ascii="Times New Roman" w:cs="Times New Roman" w:eastAsia="Times New Roman" w:hAnsi="Times New Roman"/>
          <w:sz w:val="24"/>
          <w:szCs w:val="24"/>
          <w:color w:val="auto"/>
        </w:rPr>
        <w:t>Printed Name:</w:t>
      </w:r>
      <w:r>
        <w:rPr>
          <w:sz w:val="20"/>
          <w:szCs w:val="20"/>
          <w:color w:val="auto"/>
        </w:rPr>
        <w:tab/>
      </w:r>
      <w:r>
        <w:rPr>
          <w:rFonts w:ascii="Times New Roman" w:cs="Times New Roman" w:eastAsia="Times New Roman" w:hAnsi="Times New Roman"/>
          <w:sz w:val="23"/>
          <w:szCs w:val="23"/>
          <w:color w:val="auto"/>
        </w:rPr>
        <w:t>Treasa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5288915</wp:posOffset>
            </wp:positionH>
            <wp:positionV relativeFrom="paragraph">
              <wp:posOffset>-172720</wp:posOffset>
            </wp:positionV>
            <wp:extent cx="165798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657985" cy="9525"/>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17145</wp:posOffset>
            </wp:positionV>
            <wp:extent cx="165798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57985"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1233805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29864" TargetMode="External"/><Relationship Id="rId11" Type="http://schemas.openxmlformats.org/officeDocument/2006/relationships/hyperlink" Target="http://www.sec.gov/cgi-bin/browse-edgar?action=getcompany&amp;CIK=0001772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2024-07-11T16:12:41Z</dcterms:created>
  <dcterms:modified xsi:type="dcterms:W3CDTF">2024-07-11T16:12:41Z</dcterms:modified>
</cp:coreProperties>
</file>