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KURA SUSHI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Stephens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ARKANSAS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1,195,923.00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1,195,923.00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1,195,923.00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 Holdings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ARKANSAS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1,195,923.00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1,195,923.00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1,195,923.00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60" w:right="5520" w:hanging="1112"/>
        <w:spacing w:after="0" w:line="371" w:lineRule="auto"/>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10.7 %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Reporting person is a parent holding company of Stephens Inc.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 13d-1(b)(1)(ii)(G).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STEPHENS FINANCIAL SERVICES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980"/>
          </w:cols>
          <w:pgMar w:left="320" w:top="111" w:right="5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ARKANSAS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1,195,923.00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1,195,923.00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1,195,923.00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9820"/>
          </w:cols>
          <w:pgMar w:left="320" w:top="111" w:right="59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Reporting person is a parent holding company of Stephens Inc.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 13d-1(b)(1)(ii)(G).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80"/>
          </w:cols>
          <w:pgMar w:left="320" w:top="111" w:right="59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980"/>
          </w:cols>
          <w:pgMar w:left="320" w:top="111" w:right="599" w:bottom="0" w:gutter="0" w:footer="0" w:header="0"/>
          <w:type w:val="continuous"/>
        </w:sectPr>
      </w:pPr>
    </w:p>
    <w:bookmarkStart w:id="3" w:name="page4"/>
    <w:bookmarkEnd w:id="3"/>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Warren A. Stephens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4" w:orient="portrait"/>
          <w:cols w:equalWidth="0" w:num="1">
            <w:col w:w="11040"/>
          </w:cols>
          <w:pgMar w:left="320" w:top="639" w:right="5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1,195,923.00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1,195,923.00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1,195,923.00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44" w:orient="portrait"/>
          <w:cols w:equalWidth="0" w:num="2">
            <w:col w:w="1100" w:space="60"/>
            <w:col w:w="9880"/>
          </w:cols>
          <w:pgMar w:left="320" w:top="639" w:right="5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Reporting person is a control person of Stephens Inc. in accordance with Rule 13d-1(b)(1)(ii)(G).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KURA SUSHI USA,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17461 Derian Avenue, Suite 200, Irvine, California 92614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See responses in row 1 on the cover pages of this schedule.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111 Center Street, Little Rock, Arkansas 72201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See responses in row 4 on the cover pages of this schedule.</w:t>
      </w:r>
    </w:p>
    <w:p>
      <w:pPr>
        <w:sectPr>
          <w:pgSz w:w="11900" w:h="16844" w:orient="portrait"/>
          <w:cols w:equalWidth="0" w:num="1">
            <w:col w:w="11040"/>
          </w:cols>
          <w:pgMar w:left="320" w:top="639" w:right="53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responses in row 9 on the cover pages of this schedule.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20"/>
        <w:spacing w:after="0"/>
        <w:rPr>
          <w:sz w:val="20"/>
          <w:szCs w:val="20"/>
          <w:color w:val="auto"/>
        </w:rPr>
      </w:pPr>
      <w:r>
        <w:rPr>
          <w:rFonts w:ascii="Times New Roman" w:cs="Times New Roman" w:eastAsia="Times New Roman" w:hAnsi="Times New Roman"/>
          <w:sz w:val="22"/>
          <w:szCs w:val="22"/>
          <w:color w:val="auto"/>
        </w:rPr>
        <w:t>See responses in row 11 on the cover pages of this schedule.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in row 5 on the cover pages of this schedule.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in row 6 on the cover pages of this schedule.</w:t>
      </w:r>
    </w:p>
    <w:p>
      <w:pPr>
        <w:spacing w:after="0" w:line="287" w:lineRule="exact"/>
        <w:rPr>
          <w:sz w:val="20"/>
          <w:szCs w:val="20"/>
          <w:color w:val="auto"/>
        </w:rPr>
      </w:pPr>
    </w:p>
    <w:p>
      <w:pPr>
        <w:ind w:right="5100" w:firstLine="6"/>
        <w:spacing w:after="0" w:line="509" w:lineRule="auto"/>
        <w:tabs>
          <w:tab w:leader="none" w:pos="37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responses in row 7 on the cover pages of this schedule.</w:t>
      </w:r>
    </w:p>
    <w:p>
      <w:pPr>
        <w:spacing w:after="0" w:line="1" w:lineRule="exact"/>
        <w:rPr>
          <w:rFonts w:ascii="Times New Roman" w:cs="Times New Roman" w:eastAsia="Times New Roman" w:hAnsi="Times New Roman"/>
          <w:sz w:val="21"/>
          <w:szCs w:val="21"/>
          <w:color w:val="auto"/>
        </w:rPr>
      </w:pPr>
    </w:p>
    <w:p>
      <w:pPr>
        <w:jc w:val="both"/>
        <w:ind w:right="510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responses in row 8 on the cover pages of this schedule.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22"/>
          <w:szCs w:val="22"/>
          <w:color w:val="auto"/>
        </w:rPr>
        <w:t>Various persons other than the reporting persons have the right to receive or the power to direct the receipt of dividends from, or the proceeds from the sale of, the shares of the Common Stock reported on this schedule. Such persons included Jerry N. Carr and Rebecca C. Carr whose joint interests related to more than five percent of the Common Stock.</w:t>
      </w:r>
    </w:p>
    <w:p>
      <w:pPr>
        <w:spacing w:after="0" w:line="18"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220"/>
          </w:cols>
          <w:pgMar w:left="360" w:top="112" w:right="399" w:bottom="0" w:gutter="0" w:footer="0" w:header="0"/>
          <w:type w:val="continuous"/>
        </w:sectPr>
      </w:pPr>
    </w:p>
    <w:bookmarkStart w:id="5" w:name="page6"/>
    <w:bookmarkEnd w:id="5"/>
    <w:p>
      <w:pPr>
        <w:jc w:val="both"/>
        <w:ind w:left="920"/>
        <w:spacing w:after="0"/>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Stephens Inc.</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Todd Ferguson</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Associate General Counsel</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SI Holdings Inc.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Todd Ferguson</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Attorney in fact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STEPHENS FINANCIAL SERVICES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Todd Ferguson</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Attorney in fact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Warren A. Stephens</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Todd Ferguson</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Attorney in fact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2026-05-07T17:06:55Z</dcterms:created>
  <dcterms:modified xsi:type="dcterms:W3CDTF">2026-05-07T17:06:55Z</dcterms:modified>
</cp:coreProperties>
</file>