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STUTZ CARIN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1320"/>
        <w:spacing w:after="0" w:line="419" w:lineRule="auto"/>
        <w:rPr>
          <w:sz w:val="20"/>
          <w:szCs w:val="20"/>
          <w:color w:val="auto"/>
        </w:rPr>
      </w:pPr>
      <w:r>
        <w:rPr>
          <w:rFonts w:ascii="Arial" w:cs="Arial" w:eastAsia="Arial" w:hAnsi="Arial"/>
          <w:sz w:val="15"/>
          <w:szCs w:val="15"/>
          <w:color w:val="0000FF"/>
        </w:rPr>
        <w:t>C/O KURA SUSHI USA, INC. 17461 DERIAN AVE, SUITE 200</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IRVINE</w:t>
            </w:r>
          </w:p>
        </w:tc>
        <w:tc>
          <w:tcPr>
            <w:tcW w:w="1120" w:type="dxa"/>
            <w:vAlign w:val="bottom"/>
          </w:tcPr>
          <w:p>
            <w:pPr>
              <w:ind w:left="3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92614</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KURA SUSHI USA,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KRUS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300" w:type="dxa"/>
            <w:vAlign w:val="bottom"/>
            <w:gridSpan w:val="3"/>
          </w:tcPr>
          <w:p>
            <w:pPr>
              <w:ind w:left="80"/>
              <w:spacing w:after="0"/>
              <w:rPr>
                <w:sz w:val="20"/>
                <w:szCs w:val="20"/>
                <w:color w:val="auto"/>
              </w:rPr>
            </w:pPr>
            <w:r>
              <w:rPr>
                <w:rFonts w:ascii="Arial" w:cs="Arial" w:eastAsia="Arial" w:hAnsi="Arial"/>
                <w:sz w:val="17"/>
                <w:szCs w:val="17"/>
                <w:color w:val="0000FF"/>
              </w:rPr>
              <w:t>02/01/2022</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100" w:type="dxa"/>
            <w:vAlign w:val="bottom"/>
            <w:tcBorders>
              <w:bottom w:val="single" w:sz="8" w:color="2C2C2C"/>
            </w:tcBorders>
          </w:tcPr>
          <w:p>
            <w:pPr>
              <w:spacing w:after="0"/>
              <w:rPr>
                <w:sz w:val="23"/>
                <w:szCs w:val="23"/>
                <w:color w:val="auto"/>
              </w:rPr>
            </w:pPr>
          </w:p>
        </w:tc>
        <w:tc>
          <w:tcPr>
            <w:tcW w:w="15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1,546</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A</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46.15</w:t>
            </w: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02/01/2022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1,546</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02/01/2032</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1,546</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is granted under the issuer's 2018 Incentive Compensation Plan. The Option shares will vest and become exercisable in full on the date that is 12 months following the date of grant.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Steven H. Benrubi,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949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Carin</w:t>
      </w:r>
      <w:r>
        <w:rPr>
          <w:sz w:val="20"/>
          <w:szCs w:val="20"/>
          <w:color w:val="auto"/>
        </w:rPr>
        <w:tab/>
      </w:r>
      <w:r>
        <w:rPr>
          <w:rFonts w:ascii="Arial" w:cs="Arial" w:eastAsia="Arial" w:hAnsi="Arial"/>
          <w:sz w:val="15"/>
          <w:szCs w:val="15"/>
          <w:color w:val="0000FF"/>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Stutz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20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034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15887" TargetMode="External"/><Relationship Id="rId13" Type="http://schemas.openxmlformats.org/officeDocument/2006/relationships/hyperlink" Target="http://www.sec.gov/cgi-bin/browse-edgar?action=getcompany&amp;CIK=0001772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2022-02-02T15:27:16Z</dcterms:created>
  <dcterms:modified xsi:type="dcterms:W3CDTF">2022-02-02T15:27:16Z</dcterms:modified>
</cp:coreProperties>
</file>